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BE56" w14:textId="77777777" w:rsidR="003F21FC" w:rsidRDefault="003F21FC" w:rsidP="008C42A1">
      <w:pPr>
        <w:rPr>
          <w:b/>
          <w:sz w:val="24"/>
          <w:szCs w:val="24"/>
        </w:rPr>
      </w:pPr>
    </w:p>
    <w:p w14:paraId="6B7D4256" w14:textId="51C80D2B" w:rsidR="004445A2" w:rsidRDefault="004445A2" w:rsidP="004445A2">
      <w:pPr>
        <w:jc w:val="center"/>
        <w:rPr>
          <w:b/>
          <w:sz w:val="24"/>
          <w:szCs w:val="24"/>
        </w:rPr>
      </w:pPr>
      <w:r w:rsidRPr="004445A2">
        <w:rPr>
          <w:rFonts w:eastAsia="Arial Unicode MS" w:cs="Arial Unicode MS"/>
          <w:b/>
          <w:bCs/>
          <w:noProof/>
          <w:color w:val="000000"/>
          <w:u w:color="000000"/>
          <w:bdr w:val="nil"/>
          <w:lang w:val="en-US" w:eastAsia="en-US"/>
        </w:rPr>
        <w:drawing>
          <wp:inline distT="0" distB="0" distL="0" distR="0" wp14:anchorId="6672C55E" wp14:editId="5C0A9F2F">
            <wp:extent cx="2720813" cy="1523655"/>
            <wp:effectExtent l="0" t="0" r="0" b="0"/>
            <wp:docPr id="1073741825" name="officeArt object" descr="A képen szöveg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képen szöveg láthatóAutomatikusan generált leírás" descr="A képen szöveg láthatóAutomatikusan generált leírá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0813" cy="15236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61A3C23" w14:textId="77777777" w:rsidR="003F21FC" w:rsidRDefault="003F21FC">
      <w:pPr>
        <w:jc w:val="center"/>
        <w:rPr>
          <w:b/>
          <w:sz w:val="24"/>
          <w:szCs w:val="24"/>
        </w:rPr>
      </w:pPr>
    </w:p>
    <w:p w14:paraId="6FEFED50" w14:textId="77777777" w:rsidR="003F21FC" w:rsidRDefault="003F21FC">
      <w:pPr>
        <w:jc w:val="center"/>
        <w:rPr>
          <w:b/>
          <w:sz w:val="24"/>
          <w:szCs w:val="24"/>
        </w:rPr>
      </w:pPr>
    </w:p>
    <w:p w14:paraId="00000001" w14:textId="1781F710" w:rsidR="007E5EE3" w:rsidRPr="004445A2" w:rsidRDefault="000638CC">
      <w:pPr>
        <w:jc w:val="center"/>
        <w:rPr>
          <w:b/>
          <w:sz w:val="28"/>
          <w:szCs w:val="28"/>
        </w:rPr>
      </w:pPr>
      <w:r w:rsidRPr="004445A2">
        <w:rPr>
          <w:b/>
          <w:sz w:val="28"/>
          <w:szCs w:val="28"/>
        </w:rPr>
        <w:t xml:space="preserve">Kirekesztés, megbélyegzés, félelem és bizonytalanság </w:t>
      </w:r>
    </w:p>
    <w:p w14:paraId="00000002" w14:textId="77777777" w:rsidR="007E5EE3" w:rsidRPr="004445A2" w:rsidRDefault="000638CC">
      <w:pPr>
        <w:jc w:val="center"/>
        <w:rPr>
          <w:b/>
          <w:sz w:val="28"/>
          <w:szCs w:val="28"/>
        </w:rPr>
      </w:pPr>
      <w:r w:rsidRPr="004445A2">
        <w:rPr>
          <w:b/>
          <w:sz w:val="28"/>
          <w:szCs w:val="28"/>
        </w:rPr>
        <w:t>– ez maradt a kormányzati kampány nyomában</w:t>
      </w:r>
    </w:p>
    <w:p w14:paraId="00000003" w14:textId="77777777" w:rsidR="007E5EE3" w:rsidRDefault="007E5EE3">
      <w:pPr>
        <w:jc w:val="center"/>
        <w:rPr>
          <w:b/>
          <w:sz w:val="24"/>
          <w:szCs w:val="24"/>
        </w:rPr>
      </w:pPr>
    </w:p>
    <w:p w14:paraId="00000004" w14:textId="77777777" w:rsidR="007E5EE3" w:rsidRDefault="007E5EE3">
      <w:pPr>
        <w:pStyle w:val="Cm"/>
        <w:spacing w:after="0"/>
        <w:rPr>
          <w:sz w:val="22"/>
          <w:szCs w:val="22"/>
        </w:rPr>
      </w:pPr>
    </w:p>
    <w:p w14:paraId="00000005" w14:textId="77777777" w:rsidR="007E5EE3" w:rsidRDefault="000638CC" w:rsidP="004445A2">
      <w:pPr>
        <w:pStyle w:val="Cm"/>
        <w:spacing w:after="0"/>
        <w:jc w:val="both"/>
      </w:pPr>
      <w:r>
        <w:rPr>
          <w:b/>
          <w:sz w:val="22"/>
          <w:szCs w:val="22"/>
        </w:rPr>
        <w:t>Az LMBTQI-ellenes kampány negatívan hatott a civil szervezetekre, kihívást jelentett a hírnevük, hitelességük megtartására nézve, jelentős többletmunkát eredményezett, veszélybe sodorta vagy felbontotta együttműködéseiket, fokozta a szervezeti bizonytalans</w:t>
      </w:r>
      <w:r>
        <w:rPr>
          <w:b/>
          <w:sz w:val="22"/>
          <w:szCs w:val="22"/>
        </w:rPr>
        <w:t>ágot. Az iskolákban, óvodákban a pedagógusok fokozottan egyedül érezték magukat, és (gyakran az intézményvezetők nyomására) óvatosabbá váltak nem csak a szexualitással, de a gyerekjogokkal és az erőszak-megelőzéssel foglalkozó programokkal szemben is, a gy</w:t>
      </w:r>
      <w:r>
        <w:rPr>
          <w:b/>
          <w:sz w:val="22"/>
          <w:szCs w:val="22"/>
        </w:rPr>
        <w:t xml:space="preserve">erekek között pedig nőtt a feszültség és a megkülönböztetés. Ezek a folyamatok nemcsak a civil szervezetekre vannak káros hatással, de rendkívüli akadályokat gördítenek a hatékony gyerekvédelem elé, és nagyban megnehezítik azt is, hogy a gyerekek merjenek </w:t>
      </w:r>
      <w:r>
        <w:rPr>
          <w:b/>
          <w:sz w:val="22"/>
          <w:szCs w:val="22"/>
        </w:rPr>
        <w:t>segítséget kérni. – Ez derül ki a Gyermekjogi Civil Koalíció – nem reprezentatív – hatástanulmányából, amely arra volt kíváncsi, milyen társadalmi hatással járt eddig a kormány kampánya.</w:t>
      </w:r>
    </w:p>
    <w:p w14:paraId="00000006" w14:textId="77777777" w:rsidR="007E5EE3" w:rsidRDefault="000638CC" w:rsidP="004445A2">
      <w:pPr>
        <w:pStyle w:val="Cm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7A5F114C" w14:textId="455F9171" w:rsidR="004445A2" w:rsidRDefault="000638CC" w:rsidP="004445A2">
      <w:pPr>
        <w:pStyle w:val="Cm"/>
        <w:spacing w:after="0"/>
        <w:jc w:val="both"/>
      </w:pPr>
      <w:r w:rsidRPr="00B062BF">
        <w:rPr>
          <w:b/>
          <w:bCs/>
          <w:sz w:val="22"/>
          <w:szCs w:val="22"/>
        </w:rPr>
        <w:t>A Gyermekjogi Civil Koalíció</w:t>
      </w:r>
      <w:r w:rsidR="004445A2" w:rsidRPr="00B062BF">
        <w:rPr>
          <w:b/>
          <w:bCs/>
          <w:sz w:val="22"/>
          <w:szCs w:val="22"/>
        </w:rPr>
        <w:t xml:space="preserve"> Erőszak Munkacsoportja </w:t>
      </w:r>
      <w:r w:rsidRPr="00B062BF">
        <w:rPr>
          <w:b/>
          <w:bCs/>
          <w:sz w:val="22"/>
          <w:szCs w:val="22"/>
        </w:rPr>
        <w:t>felmérést végze</w:t>
      </w:r>
      <w:r w:rsidRPr="00B062BF">
        <w:rPr>
          <w:b/>
          <w:bCs/>
          <w:sz w:val="22"/>
          <w:szCs w:val="22"/>
        </w:rPr>
        <w:t>t</w:t>
      </w:r>
      <w:r>
        <w:rPr>
          <w:sz w:val="22"/>
          <w:szCs w:val="22"/>
        </w:rPr>
        <w:t xml:space="preserve">t a tagjai körében arról, hogyan hatottak a kormány LMBTQI-embereket kirekesztő és a szexualitást tabusító intézkedései a gyerekekre és a gyerekvédelem munkájára. Az áttekintés hét szervezet és egy egyéni szakértő 2021-ben szerzett tapasztalatait mutatja </w:t>
      </w:r>
      <w:r>
        <w:rPr>
          <w:sz w:val="22"/>
          <w:szCs w:val="22"/>
        </w:rPr>
        <w:t>be. Természetesen ezek a tapasztalatok nem nyújthatnak átfogó képet, de jól illusztrálják, hogy a „pedofiltörvény” és a „</w:t>
      </w:r>
      <w:proofErr w:type="spellStart"/>
      <w:r>
        <w:rPr>
          <w:sz w:val="22"/>
          <w:szCs w:val="22"/>
        </w:rPr>
        <w:t>gyermekvédelmi</w:t>
      </w:r>
      <w:proofErr w:type="spellEnd"/>
      <w:r>
        <w:rPr>
          <w:sz w:val="22"/>
          <w:szCs w:val="22"/>
        </w:rPr>
        <w:t>” népszavazás körüli kommunikációs kampány miként ásta alá a civil szervezetekbe vetett bizalmat, a WHO (Egészségügyi Vil</w:t>
      </w:r>
      <w:r>
        <w:rPr>
          <w:sz w:val="22"/>
          <w:szCs w:val="22"/>
        </w:rPr>
        <w:t xml:space="preserve">ágszervezet) </w:t>
      </w:r>
      <w:hyperlink r:id="rId6">
        <w:r>
          <w:rPr>
            <w:color w:val="1155CC"/>
            <w:sz w:val="22"/>
            <w:szCs w:val="22"/>
            <w:u w:val="single"/>
          </w:rPr>
          <w:t>irányelveinek</w:t>
        </w:r>
      </w:hyperlink>
      <w:r>
        <w:rPr>
          <w:sz w:val="22"/>
          <w:szCs w:val="22"/>
        </w:rPr>
        <w:t xml:space="preserve"> megfelelő szexuális nevelést, és a gyerekek információhoz és az erőszak és a megkülönböztetés tilalmához való jogait. A hatástanulmányban a Hintalovon Alapítván</w:t>
      </w:r>
      <w:r>
        <w:rPr>
          <w:sz w:val="22"/>
          <w:szCs w:val="22"/>
        </w:rPr>
        <w:t>y, a Kék Vonal Gyermekkrízis Alapítvány, a Magyar LMBT Szövetség, a Háttér Társaság</w:t>
      </w:r>
      <w:r>
        <w:rPr>
          <w:sz w:val="22"/>
          <w:szCs w:val="22"/>
        </w:rPr>
        <w:t xml:space="preserve">, a Társaság a Szabadságjogokért és Toma Andrea szakértő működött közre, tapasztalataikat a Koalíció </w:t>
      </w:r>
      <w:proofErr w:type="spellStart"/>
      <w:r>
        <w:rPr>
          <w:sz w:val="22"/>
          <w:szCs w:val="22"/>
        </w:rPr>
        <w:t>anonimizálva</w:t>
      </w:r>
      <w:proofErr w:type="spellEnd"/>
      <w:r>
        <w:rPr>
          <w:sz w:val="22"/>
          <w:szCs w:val="22"/>
        </w:rPr>
        <w:t xml:space="preserve"> osztja meg. </w:t>
      </w:r>
    </w:p>
    <w:p w14:paraId="00000008" w14:textId="6E20C629" w:rsidR="007E5EE3" w:rsidRPr="004445A2" w:rsidRDefault="000638CC" w:rsidP="004445A2">
      <w:pPr>
        <w:pStyle w:val="Cm"/>
        <w:spacing w:after="0"/>
        <w:jc w:val="both"/>
      </w:pPr>
      <w:r>
        <w:rPr>
          <w:sz w:val="22"/>
          <w:szCs w:val="22"/>
        </w:rPr>
        <w:t xml:space="preserve"> </w:t>
      </w:r>
    </w:p>
    <w:p w14:paraId="00000009" w14:textId="77777777" w:rsidR="007E5EE3" w:rsidRDefault="000638CC" w:rsidP="004445A2">
      <w:pPr>
        <w:jc w:val="both"/>
        <w:rPr>
          <w:b/>
        </w:rPr>
      </w:pPr>
      <w:r>
        <w:t xml:space="preserve">A 2021-ben </w:t>
      </w:r>
      <w:r>
        <w:t>elfogadott jogszabály-módosítások korlátozták, hogy ki és mit mondhat a gyerekeknek a szexualitásról, és ekkor erősödött fel az LMBTQI-embereket megbélyegző politikai kampány is. A jogszabályok összemosták a szexuális felvilágosítást a homoszexualitással é</w:t>
      </w:r>
      <w:r>
        <w:t>s a pedofíliával, és eltérő értelmezésekre adtak teret a „népszerűsítés” és a „megjelenítés” fogalmait illetően. Néhány hónap leforgása alatt lényegében kitiltották a civileket az iskolákból, megakadályozva a szexualitásról, a drogprevencióról, az online b</w:t>
      </w:r>
      <w:r>
        <w:t xml:space="preserve">iztonságról és a gyerekek testi-lelki fejlődéséről szóló foglalkozások megtartását. Az engedélyezéshez szükséges nyilvántartásba vételre vonatkozó jogszabály ugyanis nem készült el, ezt a minisztériumi tisztségviselők az országgyűlési választások utánra </w:t>
      </w:r>
      <w:proofErr w:type="spellStart"/>
      <w:r>
        <w:t>ig</w:t>
      </w:r>
      <w:r>
        <w:t>érik</w:t>
      </w:r>
      <w:proofErr w:type="spellEnd"/>
      <w:r>
        <w:t>. A homoszexualitás és a nemváltás „megjelenítését” és „népszerűsítését” célzó korlátozások felerősítették a szexuális erőszakkal és a homoszexualitással kapcsolatos tévhiteket, és fokozták a gyerekek és a sérülékeny csoportok kiszolgáltatottságát. A G</w:t>
      </w:r>
      <w:r>
        <w:t xml:space="preserve">yermekjogi Civil Koalíció számos </w:t>
      </w:r>
      <w:hyperlink r:id="rId7">
        <w:r>
          <w:rPr>
            <w:color w:val="1155CC"/>
            <w:u w:val="single"/>
          </w:rPr>
          <w:t>állásfoglalásában</w:t>
        </w:r>
      </w:hyperlink>
      <w:r>
        <w:t xml:space="preserve"> hangsúlyozta, hogy a tabusítás nem védi, hanem súlyosan sérti a gyerekek jogait.</w:t>
      </w:r>
    </w:p>
    <w:p w14:paraId="0000000A" w14:textId="77777777" w:rsidR="007E5EE3" w:rsidRDefault="007E5EE3" w:rsidP="004445A2">
      <w:pPr>
        <w:pStyle w:val="Cm"/>
        <w:spacing w:after="0"/>
        <w:jc w:val="both"/>
        <w:rPr>
          <w:b/>
          <w:sz w:val="22"/>
          <w:szCs w:val="22"/>
        </w:rPr>
      </w:pPr>
      <w:bookmarkStart w:id="0" w:name="_33f4kebz2azl" w:colFirst="0" w:colLast="0"/>
      <w:bookmarkEnd w:id="0"/>
    </w:p>
    <w:p w14:paraId="0000000B" w14:textId="77777777" w:rsidR="007E5EE3" w:rsidRDefault="000638CC" w:rsidP="004445A2">
      <w:pPr>
        <w:pStyle w:val="Cm"/>
        <w:spacing w:after="0"/>
        <w:jc w:val="both"/>
        <w:rPr>
          <w:sz w:val="22"/>
          <w:szCs w:val="22"/>
        </w:rPr>
      </w:pPr>
      <w:bookmarkStart w:id="1" w:name="_xpp01p30slk3" w:colFirst="0" w:colLast="0"/>
      <w:bookmarkEnd w:id="1"/>
      <w:r>
        <w:rPr>
          <w:sz w:val="22"/>
          <w:szCs w:val="22"/>
        </w:rPr>
        <w:t>Fontos, hogy az LMBTQI-emberek jogait é</w:t>
      </w:r>
      <w:r>
        <w:rPr>
          <w:sz w:val="22"/>
          <w:szCs w:val="22"/>
        </w:rPr>
        <w:t xml:space="preserve">s a civileket ért támadásokat, a félrevezető </w:t>
      </w:r>
      <w:proofErr w:type="spellStart"/>
      <w:r>
        <w:rPr>
          <w:sz w:val="22"/>
          <w:szCs w:val="22"/>
        </w:rPr>
        <w:t>gyermekvédelmi</w:t>
      </w:r>
      <w:proofErr w:type="spellEnd"/>
      <w:r>
        <w:rPr>
          <w:sz w:val="22"/>
          <w:szCs w:val="22"/>
        </w:rPr>
        <w:t xml:space="preserve"> kampányokat nemzetközi kontextusban is lássuk. Európa-szerte nagyon hasonló, sok esetben a hazainál is súlyosabb támadások érik a gyerekeket védő szervezeteket; ezekről a </w:t>
      </w:r>
      <w:hyperlink r:id="rId8">
        <w:proofErr w:type="spellStart"/>
        <w:r>
          <w:rPr>
            <w:color w:val="1155CC"/>
            <w:sz w:val="22"/>
            <w:szCs w:val="22"/>
            <w:u w:val="single"/>
          </w:rPr>
          <w:t>Eurochild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</w:t>
        </w:r>
      </w:hyperlink>
      <w:r>
        <w:rPr>
          <w:sz w:val="22"/>
          <w:szCs w:val="22"/>
        </w:rPr>
        <w:t>állásfoglalást adott ki, amely számos példát idéz az alapjogellenes (</w:t>
      </w:r>
      <w:proofErr w:type="spellStart"/>
      <w:proofErr w:type="gramStart"/>
      <w:r>
        <w:rPr>
          <w:sz w:val="22"/>
          <w:szCs w:val="22"/>
        </w:rPr>
        <w:t>anti-rights</w:t>
      </w:r>
      <w:proofErr w:type="spellEnd"/>
      <w:proofErr w:type="gramEnd"/>
      <w:r>
        <w:rPr>
          <w:sz w:val="22"/>
          <w:szCs w:val="22"/>
        </w:rPr>
        <w:t>) mozgalom formáira, és rámutat a nemzetközi együttműködés szerep</w:t>
      </w:r>
      <w:r>
        <w:rPr>
          <w:sz w:val="22"/>
          <w:szCs w:val="22"/>
        </w:rPr>
        <w:t>ére és lehetőségeire.</w:t>
      </w:r>
    </w:p>
    <w:p w14:paraId="0000000C" w14:textId="77777777" w:rsidR="007E5EE3" w:rsidRDefault="007E5EE3" w:rsidP="004445A2">
      <w:pPr>
        <w:pStyle w:val="Cm"/>
        <w:spacing w:after="0"/>
        <w:jc w:val="both"/>
        <w:rPr>
          <w:sz w:val="22"/>
          <w:szCs w:val="22"/>
        </w:rPr>
      </w:pPr>
      <w:bookmarkStart w:id="2" w:name="_7p5gu18jxazs" w:colFirst="0" w:colLast="0"/>
      <w:bookmarkEnd w:id="2"/>
    </w:p>
    <w:p w14:paraId="0000000D" w14:textId="77777777" w:rsidR="007E5EE3" w:rsidRDefault="000638CC" w:rsidP="004445A2">
      <w:pPr>
        <w:pStyle w:val="Cm"/>
        <w:spacing w:after="0"/>
        <w:jc w:val="both"/>
        <w:rPr>
          <w:sz w:val="22"/>
          <w:szCs w:val="22"/>
        </w:rPr>
      </w:pPr>
      <w:bookmarkStart w:id="3" w:name="_29picd6si0r4" w:colFirst="0" w:colLast="0"/>
      <w:bookmarkEnd w:id="3"/>
      <w:r>
        <w:rPr>
          <w:sz w:val="22"/>
          <w:szCs w:val="22"/>
        </w:rPr>
        <w:t xml:space="preserve">Bár a sajtó több alkalommal foglalkozott a téma különböző aspektusaival, nagyrészt láthatatlan maradt, hogy a fenti kormányzati döntések hogyan érvényesültek az iskolák, óvodák és gyermekvédő szervezetek hétköznapjaiban. Ahhoz, hogy </w:t>
      </w:r>
      <w:r>
        <w:rPr>
          <w:sz w:val="22"/>
          <w:szCs w:val="22"/>
        </w:rPr>
        <w:t xml:space="preserve">lássuk a következményeket, fontos, hogy a gyerekekért dolgozó szervezetek és szakemberek tapasztalatait is dokumentáljuk.  </w:t>
      </w:r>
    </w:p>
    <w:p w14:paraId="0000000E" w14:textId="77777777" w:rsidR="007E5EE3" w:rsidRDefault="007E5EE3" w:rsidP="004445A2">
      <w:pPr>
        <w:jc w:val="both"/>
      </w:pPr>
    </w:p>
    <w:p w14:paraId="0000000F" w14:textId="77777777" w:rsidR="007E5EE3" w:rsidRDefault="000638CC" w:rsidP="004445A2">
      <w:pPr>
        <w:pStyle w:val="Cm"/>
        <w:spacing w:after="0"/>
        <w:jc w:val="both"/>
        <w:rPr>
          <w:sz w:val="22"/>
          <w:szCs w:val="22"/>
        </w:rPr>
      </w:pPr>
      <w:bookmarkStart w:id="4" w:name="_gjdgxs" w:colFirst="0" w:colLast="0"/>
      <w:bookmarkEnd w:id="4"/>
      <w:r>
        <w:rPr>
          <w:sz w:val="22"/>
          <w:szCs w:val="22"/>
        </w:rPr>
        <w:t>A résztvevő szervezetek beszámolóiból kiderül, hogy a Gyermekjogi Civil Koalíció tagjai milyen tapasztalatokat gyűjtöttek az iskolá</w:t>
      </w:r>
      <w:r>
        <w:rPr>
          <w:sz w:val="22"/>
          <w:szCs w:val="22"/>
        </w:rPr>
        <w:t>kkal, óvodákkal való együttműködések és pedagógusképzések során, az erőszakmegelőzésről, az online biztonságról vagy a szexuális nevelésről szóló iskolai foglalkozásaik révén, mit érzékeltek a segélyvonalaikon, a jogsegélyt és a jogi képviseletet nyújtó sz</w:t>
      </w:r>
      <w:r>
        <w:rPr>
          <w:sz w:val="22"/>
          <w:szCs w:val="22"/>
        </w:rPr>
        <w:t>olgáltatásaikon keresztül, és hogyan hatott a kormányzati kampány az érdekképviseleti, figyelemfelhívó, tájékoztató munkájukra és a partnereikkel való együttműködéseikre.</w:t>
      </w:r>
    </w:p>
    <w:p w14:paraId="00000010" w14:textId="77777777" w:rsidR="007E5EE3" w:rsidRDefault="007E5EE3" w:rsidP="004445A2">
      <w:pPr>
        <w:pStyle w:val="Cm"/>
        <w:jc w:val="both"/>
        <w:rPr>
          <w:b/>
          <w:sz w:val="22"/>
          <w:szCs w:val="22"/>
        </w:rPr>
      </w:pPr>
      <w:bookmarkStart w:id="5" w:name="_9teft9zdkkjk" w:colFirst="0" w:colLast="0"/>
      <w:bookmarkEnd w:id="5"/>
    </w:p>
    <w:p w14:paraId="00000011" w14:textId="77777777" w:rsidR="007E5EE3" w:rsidRDefault="000638CC" w:rsidP="004445A2">
      <w:pPr>
        <w:pStyle w:val="Cm"/>
        <w:jc w:val="both"/>
        <w:rPr>
          <w:b/>
          <w:sz w:val="22"/>
          <w:szCs w:val="22"/>
        </w:rPr>
      </w:pPr>
      <w:bookmarkStart w:id="6" w:name="_1afcmdt11qh2" w:colFirst="0" w:colLast="0"/>
      <w:bookmarkEnd w:id="6"/>
      <w:r>
        <w:rPr>
          <w:b/>
          <w:sz w:val="22"/>
          <w:szCs w:val="22"/>
        </w:rPr>
        <w:t xml:space="preserve">A </w:t>
      </w:r>
      <w:r>
        <w:rPr>
          <w:sz w:val="22"/>
          <w:szCs w:val="22"/>
        </w:rPr>
        <w:t>„</w:t>
      </w:r>
      <w:r>
        <w:rPr>
          <w:b/>
          <w:sz w:val="22"/>
          <w:szCs w:val="22"/>
        </w:rPr>
        <w:t xml:space="preserve">pedofiltörvény” és az LMBTQI-ellenes kampány hatása </w:t>
      </w:r>
    </w:p>
    <w:p w14:paraId="00000012" w14:textId="77777777" w:rsidR="007E5EE3" w:rsidRDefault="000638CC" w:rsidP="004445A2">
      <w:pPr>
        <w:pStyle w:val="Cm"/>
        <w:jc w:val="both"/>
        <w:rPr>
          <w:b/>
          <w:sz w:val="22"/>
          <w:szCs w:val="22"/>
        </w:rPr>
      </w:pPr>
      <w:bookmarkStart w:id="7" w:name="_2rra0j9skwuy" w:colFirst="0" w:colLast="0"/>
      <w:bookmarkEnd w:id="7"/>
      <w:r>
        <w:rPr>
          <w:b/>
          <w:sz w:val="22"/>
          <w:szCs w:val="22"/>
        </w:rPr>
        <w:t>a gyerekekre és a gyerekeket</w:t>
      </w:r>
      <w:r>
        <w:rPr>
          <w:b/>
          <w:sz w:val="22"/>
          <w:szCs w:val="22"/>
        </w:rPr>
        <w:t xml:space="preserve"> védő hálóra</w:t>
      </w:r>
    </w:p>
    <w:p w14:paraId="00000013" w14:textId="77777777" w:rsidR="007E5EE3" w:rsidRDefault="007E5EE3" w:rsidP="004445A2">
      <w:pPr>
        <w:jc w:val="both"/>
      </w:pPr>
    </w:p>
    <w:p w14:paraId="00000014" w14:textId="68C07FA3" w:rsidR="007E5EE3" w:rsidRDefault="000638CC" w:rsidP="004445A2">
      <w:pPr>
        <w:jc w:val="both"/>
      </w:pPr>
      <w:r>
        <w:t xml:space="preserve">A Gyermekjogi Civil Koalíció erőszak munkacsoportja összegezte az LMBTQI-emberekkel és a szexuális neveléssel kapcsolatos kormányzati kommunikáció és új jogszabályi környezet hatásáról szóló tapasztalatait.  Résztvevő szervezetek: Hintalovon </w:t>
      </w:r>
      <w:r>
        <w:t xml:space="preserve">Gyermekjogi Alapítvány, Kék Vonal Gyermekkrízis Alapítvány, Magyar LMBT Szövetség, Háttér Társaság, </w:t>
      </w:r>
      <w:r>
        <w:rPr>
          <w:color w:val="000000"/>
        </w:rPr>
        <w:t>TASZ</w:t>
      </w:r>
      <w:r>
        <w:t xml:space="preserve">, Toma Andrea szakértő. </w:t>
      </w:r>
    </w:p>
    <w:p w14:paraId="00000015" w14:textId="77777777" w:rsidR="007E5EE3" w:rsidRDefault="007E5EE3" w:rsidP="004445A2">
      <w:pPr>
        <w:jc w:val="both"/>
      </w:pPr>
    </w:p>
    <w:p w14:paraId="00000016" w14:textId="77777777" w:rsidR="007E5EE3" w:rsidRDefault="000638CC" w:rsidP="004445A2">
      <w:pPr>
        <w:jc w:val="both"/>
        <w:rPr>
          <w:b/>
        </w:rPr>
      </w:pPr>
      <w:r>
        <w:rPr>
          <w:b/>
        </w:rPr>
        <w:t xml:space="preserve">Milyen tevékenységek révén értesültünk a félelemkeltő és a kirekesztő kormányzati döntések hatásáról? </w:t>
      </w:r>
    </w:p>
    <w:p w14:paraId="00000017" w14:textId="77777777" w:rsidR="007E5EE3" w:rsidRDefault="007E5EE3" w:rsidP="004445A2">
      <w:pPr>
        <w:jc w:val="both"/>
        <w:rPr>
          <w:b/>
        </w:rPr>
      </w:pPr>
    </w:p>
    <w:p w14:paraId="00000018" w14:textId="77777777" w:rsidR="007E5EE3" w:rsidRDefault="000638CC" w:rsidP="004445A2">
      <w:pPr>
        <w:numPr>
          <w:ilvl w:val="0"/>
          <w:numId w:val="1"/>
        </w:numPr>
        <w:jc w:val="both"/>
      </w:pPr>
      <w:r>
        <w:t>Iskolákkal, óvodákkal való együttműködés</w:t>
      </w:r>
    </w:p>
    <w:p w14:paraId="00000019" w14:textId="77777777" w:rsidR="007E5EE3" w:rsidRDefault="000638CC" w:rsidP="004445A2">
      <w:pPr>
        <w:numPr>
          <w:ilvl w:val="0"/>
          <w:numId w:val="1"/>
        </w:numPr>
        <w:jc w:val="both"/>
      </w:pPr>
      <w:r>
        <w:t>Pedagógusképzés</w:t>
      </w:r>
    </w:p>
    <w:p w14:paraId="0000001A" w14:textId="77777777" w:rsidR="007E5EE3" w:rsidRDefault="000638CC" w:rsidP="004445A2">
      <w:pPr>
        <w:numPr>
          <w:ilvl w:val="0"/>
          <w:numId w:val="1"/>
        </w:numPr>
        <w:jc w:val="both"/>
      </w:pPr>
      <w:r>
        <w:t>Iskolai foglalkozások gyerekeknek (erőszak-megelőzés, online biztonság, szexuális nevelés)</w:t>
      </w:r>
    </w:p>
    <w:p w14:paraId="0000001B" w14:textId="77777777" w:rsidR="007E5EE3" w:rsidRDefault="000638CC" w:rsidP="004445A2">
      <w:pPr>
        <w:numPr>
          <w:ilvl w:val="0"/>
          <w:numId w:val="1"/>
        </w:numPr>
        <w:jc w:val="both"/>
      </w:pPr>
      <w:r>
        <w:t>Lelk</w:t>
      </w:r>
      <w:r>
        <w:t>isegélyvonal és lelki segítségnyújtás telefonon, chaten, emailen</w:t>
      </w:r>
    </w:p>
    <w:p w14:paraId="0000001C" w14:textId="77777777" w:rsidR="007E5EE3" w:rsidRDefault="000638CC" w:rsidP="004445A2">
      <w:pPr>
        <w:numPr>
          <w:ilvl w:val="0"/>
          <w:numId w:val="1"/>
        </w:numPr>
        <w:jc w:val="both"/>
      </w:pPr>
      <w:r>
        <w:t xml:space="preserve">Jogsegély és jogi képviselet </w:t>
      </w:r>
    </w:p>
    <w:p w14:paraId="0000001D" w14:textId="77777777" w:rsidR="007E5EE3" w:rsidRDefault="000638CC" w:rsidP="004445A2">
      <w:pPr>
        <w:numPr>
          <w:ilvl w:val="0"/>
          <w:numId w:val="1"/>
        </w:numPr>
        <w:jc w:val="both"/>
      </w:pPr>
      <w:r>
        <w:t>Gyermekjogi érdekképviselet</w:t>
      </w:r>
    </w:p>
    <w:p w14:paraId="0000001E" w14:textId="77777777" w:rsidR="007E5EE3" w:rsidRDefault="000638CC" w:rsidP="004445A2">
      <w:pPr>
        <w:numPr>
          <w:ilvl w:val="0"/>
          <w:numId w:val="1"/>
        </w:numPr>
        <w:jc w:val="both"/>
      </w:pPr>
      <w:r>
        <w:t>Kommunikációs kampányok, figyelemfelhívó, tájékoztató tevékenység</w:t>
      </w:r>
    </w:p>
    <w:p w14:paraId="0000001F" w14:textId="77777777" w:rsidR="007E5EE3" w:rsidRDefault="000638CC" w:rsidP="004445A2">
      <w:pPr>
        <w:numPr>
          <w:ilvl w:val="0"/>
          <w:numId w:val="1"/>
        </w:numPr>
        <w:jc w:val="both"/>
      </w:pPr>
      <w:r>
        <w:t>Együttműködések más szervezetekkel</w:t>
      </w:r>
    </w:p>
    <w:p w14:paraId="00000020" w14:textId="77777777" w:rsidR="007E5EE3" w:rsidRDefault="007E5EE3" w:rsidP="004445A2">
      <w:pPr>
        <w:jc w:val="both"/>
      </w:pPr>
      <w:bookmarkStart w:id="8" w:name="_1fob9te" w:colFirst="0" w:colLast="0"/>
      <w:bookmarkEnd w:id="8"/>
    </w:p>
    <w:p w14:paraId="00000021" w14:textId="77777777" w:rsidR="007E5EE3" w:rsidRDefault="000638CC" w:rsidP="004445A2">
      <w:pPr>
        <w:jc w:val="both"/>
        <w:rPr>
          <w:b/>
        </w:rPr>
      </w:pPr>
      <w:r>
        <w:rPr>
          <w:b/>
        </w:rPr>
        <w:t>Hogyan érintette a törvényi sza</w:t>
      </w:r>
      <w:r>
        <w:rPr>
          <w:b/>
        </w:rPr>
        <w:t>bályozás és a kormányzati kommunikáció a szervezeteinket és a tevékenységeinket?</w:t>
      </w:r>
    </w:p>
    <w:p w14:paraId="00000022" w14:textId="77777777" w:rsidR="007E5EE3" w:rsidRDefault="007E5EE3" w:rsidP="004445A2">
      <w:pPr>
        <w:jc w:val="both"/>
      </w:pPr>
    </w:p>
    <w:p w14:paraId="00000023" w14:textId="77777777" w:rsidR="007E5EE3" w:rsidRDefault="000638CC" w:rsidP="004445A2">
      <w:pPr>
        <w:jc w:val="both"/>
        <w:rPr>
          <w:i/>
        </w:rPr>
      </w:pPr>
      <w:r>
        <w:rPr>
          <w:i/>
        </w:rPr>
        <w:t>Hírnév, hitelesség, együttműködések, többletmunka</w:t>
      </w:r>
    </w:p>
    <w:p w14:paraId="00000024" w14:textId="77777777" w:rsidR="007E5EE3" w:rsidRDefault="000638CC" w:rsidP="004445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„</w:t>
      </w:r>
      <w:r>
        <w:rPr>
          <w:color w:val="000000"/>
        </w:rPr>
        <w:t>Ránk az új törvényi szabályozás minimálisan hat közvetle</w:t>
      </w:r>
      <w:r>
        <w:rPr>
          <w:color w:val="000000"/>
        </w:rPr>
        <w:t xml:space="preserve">nül (ugyanis nem tartunk érzékenyítő képzéseket iskolákban), </w:t>
      </w:r>
      <w:r>
        <w:rPr>
          <w:b/>
          <w:color w:val="000000"/>
        </w:rPr>
        <w:t>sokkal inkább a jogsegély</w:t>
      </w:r>
      <w:r>
        <w:rPr>
          <w:b/>
        </w:rPr>
        <w:t>kérés</w:t>
      </w:r>
      <w:r>
        <w:rPr>
          <w:b/>
          <w:color w:val="000000"/>
        </w:rPr>
        <w:t>ek számának megnövekedésében érhető tetten</w:t>
      </w:r>
      <w:r>
        <w:rPr>
          <w:color w:val="000000"/>
        </w:rPr>
        <w:t>, illetve az LMBTQ-partnerszervezeteink támogatásában, a velük való közös kampányok szervezésében, a jogi és kommunikációs,</w:t>
      </w:r>
      <w:r>
        <w:rPr>
          <w:color w:val="000000"/>
        </w:rPr>
        <w:t xml:space="preserve"> továbbá </w:t>
      </w:r>
      <w:r>
        <w:t>érdekérvényesítő</w:t>
      </w:r>
      <w:r>
        <w:rPr>
          <w:color w:val="000000"/>
        </w:rPr>
        <w:t xml:space="preserve"> munkacsoportokban való egyre növekvő munkában, és végül a saját szervezeti </w:t>
      </w:r>
      <w:r>
        <w:t>érdekérvényesítő</w:t>
      </w:r>
      <w:r>
        <w:rPr>
          <w:color w:val="000000"/>
        </w:rPr>
        <w:t xml:space="preserve"> tevékenységünk megnövekedésében.</w:t>
      </w:r>
      <w:r>
        <w:t>”</w:t>
      </w:r>
      <w:r>
        <w:rPr>
          <w:color w:val="000000"/>
        </w:rPr>
        <w:t xml:space="preserve"> </w:t>
      </w:r>
    </w:p>
    <w:p w14:paraId="00000025" w14:textId="77777777" w:rsidR="007E5EE3" w:rsidRDefault="000638CC" w:rsidP="004445A2">
      <w:pPr>
        <w:numPr>
          <w:ilvl w:val="0"/>
          <w:numId w:val="3"/>
        </w:numPr>
        <w:jc w:val="both"/>
      </w:pPr>
      <w:r>
        <w:t>„</w:t>
      </w:r>
      <w:r>
        <w:rPr>
          <w:b/>
        </w:rPr>
        <w:t xml:space="preserve">Inkább a megítélésünket rombolja, nem a valódi cselekvésünket </w:t>
      </w:r>
      <w:r>
        <w:t>(eddig sem jártunk iskolába túl gyakran,</w:t>
      </w:r>
      <w:r>
        <w:t xml:space="preserve"> óvodába meg egyáltalán nem), viszont nagyon sokat rontanak az álhírek az alapítvány hitelességén. Elképesztően kiforgat alapértékeket, és így nehézkessé válik a hiteles kommunikáció.”</w:t>
      </w:r>
    </w:p>
    <w:p w14:paraId="00000026" w14:textId="77777777" w:rsidR="007E5EE3" w:rsidRDefault="000638CC" w:rsidP="004445A2">
      <w:pPr>
        <w:numPr>
          <w:ilvl w:val="0"/>
          <w:numId w:val="3"/>
        </w:numPr>
        <w:jc w:val="both"/>
      </w:pPr>
      <w:r>
        <w:t>„</w:t>
      </w:r>
      <w:r>
        <w:rPr>
          <w:b/>
        </w:rPr>
        <w:t>Előfordult, hogy a meglévő partnereink visszaléptek a támogatástól, va</w:t>
      </w:r>
      <w:r>
        <w:rPr>
          <w:b/>
        </w:rPr>
        <w:t>gy korábbi megállapodások ellenére eltűntek</w:t>
      </w:r>
      <w:r>
        <w:t>, nem válaszoltak levelekre.”</w:t>
      </w:r>
    </w:p>
    <w:p w14:paraId="00000027" w14:textId="77777777" w:rsidR="007E5EE3" w:rsidRDefault="000638CC" w:rsidP="004445A2">
      <w:pPr>
        <w:numPr>
          <w:ilvl w:val="0"/>
          <w:numId w:val="3"/>
        </w:numPr>
        <w:jc w:val="both"/>
      </w:pPr>
      <w:r>
        <w:t>„Tekintettel arra, hogy az LMBTQI-fókuszú szervezetekkel közösen dolgozunk szoros együttműködésben, közös a kommunikációnk is velük, megosztjuk a tartalmaikat, azokat magunk is terjes</w:t>
      </w:r>
      <w:r>
        <w:t xml:space="preserve">ztjük, így a kormányzati kommunikáció számára mi is az ellenséges »melegpropagandista« szervezetek közé tartozunk. A kormányzati homofób gyűlöletkampánynak e téren is elsőszámú célpontja vagyunk – továbbra is.” </w:t>
      </w:r>
    </w:p>
    <w:p w14:paraId="00000028" w14:textId="77777777" w:rsidR="007E5EE3" w:rsidRDefault="000638CC" w:rsidP="004445A2">
      <w:pPr>
        <w:numPr>
          <w:ilvl w:val="0"/>
          <w:numId w:val="3"/>
        </w:numPr>
        <w:jc w:val="both"/>
      </w:pPr>
      <w:r>
        <w:t xml:space="preserve">„Megszaporodtak a </w:t>
      </w:r>
      <w:proofErr w:type="spellStart"/>
      <w:r>
        <w:t>trollok</w:t>
      </w:r>
      <w:proofErr w:type="spellEnd"/>
      <w:r>
        <w:t xml:space="preserve"> és a támadó üzenetek a közösségi médiafelületeken, amelyek írói valóban elhiszik, hogy mi gyerekeket akarunk átműteni, megtéveszteni. </w:t>
      </w:r>
      <w:r>
        <w:rPr>
          <w:b/>
        </w:rPr>
        <w:t>Nagyon sok energiát visz el a valódi munkától a témával kapcsolatos válaszolgatás, felkészülés, a félelmek és aggályok el</w:t>
      </w:r>
      <w:r>
        <w:rPr>
          <w:b/>
        </w:rPr>
        <w:t>oszlatása.”</w:t>
      </w:r>
    </w:p>
    <w:p w14:paraId="00000029" w14:textId="77777777" w:rsidR="007E5EE3" w:rsidRDefault="000638CC" w:rsidP="004445A2">
      <w:pPr>
        <w:numPr>
          <w:ilvl w:val="0"/>
          <w:numId w:val="3"/>
        </w:numPr>
        <w:jc w:val="both"/>
      </w:pPr>
      <w:r>
        <w:t>„Megnövekedett a terhelés.</w:t>
      </w:r>
      <w:r>
        <w:rPr>
          <w:b/>
        </w:rPr>
        <w:t xml:space="preserve"> </w:t>
      </w:r>
      <w:r>
        <w:t>A jogsegélyszolgálathoz befutó kérdések megválaszolása, a gyűlölet-bűncselekmények esetén való képviselet és a kommunikációs feladatok több ráfordítást igényelnek, amelyeket a végrehajtási rendeletek hiánya miatti biz</w:t>
      </w:r>
      <w:r>
        <w:t>onytalanság is növel.”</w:t>
      </w:r>
    </w:p>
    <w:p w14:paraId="0000002A" w14:textId="77777777" w:rsidR="007E5EE3" w:rsidRDefault="007E5EE3" w:rsidP="004445A2">
      <w:pPr>
        <w:jc w:val="both"/>
      </w:pPr>
    </w:p>
    <w:p w14:paraId="0000002B" w14:textId="77777777" w:rsidR="007E5EE3" w:rsidRDefault="000638CC" w:rsidP="004445A2">
      <w:pPr>
        <w:jc w:val="both"/>
      </w:pPr>
      <w:r>
        <w:rPr>
          <w:i/>
        </w:rPr>
        <w:t>Segítő szolgáltatások gyerekeknek</w:t>
      </w:r>
    </w:p>
    <w:p w14:paraId="0000002C" w14:textId="77777777" w:rsidR="007E5EE3" w:rsidRDefault="000638CC" w:rsidP="004445A2">
      <w:pPr>
        <w:numPr>
          <w:ilvl w:val="0"/>
          <w:numId w:val="3"/>
        </w:numPr>
        <w:jc w:val="both"/>
      </w:pPr>
      <w:r>
        <w:t xml:space="preserve">„A korábbiakhoz képest </w:t>
      </w:r>
      <w:r>
        <w:rPr>
          <w:b/>
        </w:rPr>
        <w:t>nem nőtt meg az LMBTQI-tematikával, illetve a diszkriminációval, az előítéletekkel kapcsolatos hívások száma</w:t>
      </w:r>
      <w:r>
        <w:t xml:space="preserve">. Ennek a hátterében szerintünk az áll, hogy azok a fiatalok, akik </w:t>
      </w:r>
      <w:r>
        <w:t>ezzel a témával keresnek segítséget, nem minket találnak meg. A törvénynek ilyen módon van egy olyan hatása is, hogy elkezdtünk abban gondolkodni, hogy mit kell tennünk azért, hogy az LMBTQI-fiatalok nagyobb számban érjenek el minket.”</w:t>
      </w:r>
    </w:p>
    <w:p w14:paraId="0000002D" w14:textId="77777777" w:rsidR="007E5EE3" w:rsidRDefault="000638CC" w:rsidP="004445A2">
      <w:pPr>
        <w:numPr>
          <w:ilvl w:val="0"/>
          <w:numId w:val="3"/>
        </w:numPr>
        <w:jc w:val="both"/>
      </w:pPr>
      <w:r>
        <w:t xml:space="preserve">„Júniusról júliusra </w:t>
      </w:r>
      <w:r>
        <w:rPr>
          <w:b/>
        </w:rPr>
        <w:t>volt egy drasztikus csökkenés az LMBTQI témájú beszélgetésekben</w:t>
      </w:r>
      <w:r>
        <w:t xml:space="preserve">.” </w:t>
      </w:r>
    </w:p>
    <w:p w14:paraId="0000002E" w14:textId="77777777" w:rsidR="007E5EE3" w:rsidRDefault="000638CC" w:rsidP="004445A2">
      <w:pPr>
        <w:numPr>
          <w:ilvl w:val="0"/>
          <w:numId w:val="3"/>
        </w:numPr>
        <w:jc w:val="both"/>
      </w:pPr>
      <w:r>
        <w:t>„LMBTQI lelkisegély vonalként nálunk abban mutatkozott meg a hatás, hogy a törvény elfogadását követő hónapokban jelentősen, háromszorosára nőtt a 18 év alatti hívók száma.”</w:t>
      </w:r>
    </w:p>
    <w:p w14:paraId="0000002F" w14:textId="77777777" w:rsidR="007E5EE3" w:rsidRDefault="007E5EE3" w:rsidP="004445A2">
      <w:pPr>
        <w:jc w:val="both"/>
      </w:pPr>
    </w:p>
    <w:p w14:paraId="00000030" w14:textId="77777777" w:rsidR="007E5EE3" w:rsidRDefault="000638CC" w:rsidP="004445A2">
      <w:pPr>
        <w:keepNext/>
        <w:jc w:val="both"/>
        <w:rPr>
          <w:i/>
        </w:rPr>
      </w:pPr>
      <w:r>
        <w:rPr>
          <w:i/>
        </w:rPr>
        <w:t>Szervezeti biz</w:t>
      </w:r>
      <w:r>
        <w:rPr>
          <w:i/>
        </w:rPr>
        <w:t xml:space="preserve">onytalanság </w:t>
      </w:r>
    </w:p>
    <w:p w14:paraId="00000031" w14:textId="77777777" w:rsidR="007E5EE3" w:rsidRDefault="000638CC" w:rsidP="004445A2">
      <w:pPr>
        <w:numPr>
          <w:ilvl w:val="0"/>
          <w:numId w:val="3"/>
        </w:numPr>
        <w:jc w:val="both"/>
      </w:pPr>
      <w:r>
        <w:t>„Mérgezi a szervezeten belüli munkát, negatívan befolyásolja az emberek hangulatát.”</w:t>
      </w:r>
    </w:p>
    <w:p w14:paraId="00000032" w14:textId="77777777" w:rsidR="007E5EE3" w:rsidRDefault="000638CC" w:rsidP="004445A2">
      <w:pPr>
        <w:numPr>
          <w:ilvl w:val="0"/>
          <w:numId w:val="3"/>
        </w:numPr>
        <w:jc w:val="both"/>
      </w:pPr>
      <w:r>
        <w:t xml:space="preserve">„Azt tapasztaljuk, hogy </w:t>
      </w:r>
      <w:r>
        <w:rPr>
          <w:b/>
        </w:rPr>
        <w:t>bizonytalanságot kelt az önkéntesek között, hogy egyáltalán illegálisnak számít-e, amit csinálunk</w:t>
      </w:r>
      <w:r>
        <w:t>, kell-e változtatni bármit azon, aho</w:t>
      </w:r>
      <w:r>
        <w:t xml:space="preserve">gy beszélgetünk a gyerekekkel. Ezenkívül nagyobb lelki terheléssel jár egy-egy LMBTQI témájú beszélgetés, </w:t>
      </w:r>
      <w:r>
        <w:rPr>
          <w:b/>
        </w:rPr>
        <w:t>nehéz a helyzet normalitását kommunikálni a gyerekeknek, ha máshol nem ezt hallják</w:t>
      </w:r>
      <w:r>
        <w:t>, így eszköztelenebbnek, tehetetlenebbnek, dühösebbnek érzik magukat</w:t>
      </w:r>
      <w:r>
        <w:t xml:space="preserve"> az ügyelők.”</w:t>
      </w:r>
    </w:p>
    <w:p w14:paraId="00000033" w14:textId="77777777" w:rsidR="007E5EE3" w:rsidRDefault="000638CC" w:rsidP="004445A2">
      <w:pPr>
        <w:numPr>
          <w:ilvl w:val="0"/>
          <w:numId w:val="3"/>
        </w:numPr>
        <w:jc w:val="both"/>
      </w:pPr>
      <w:r>
        <w:t>„Közvetlenül a törvény elfogadása után több kérdést is kaptunk az önkéntesektől, munkatársaktól, hogy ez a törvény hogyan érinti a munkánkat, mi az, amit lehet, mi az, amit nem.”</w:t>
      </w:r>
    </w:p>
    <w:p w14:paraId="00000034" w14:textId="77777777" w:rsidR="007E5EE3" w:rsidRDefault="007E5EE3" w:rsidP="004445A2">
      <w:pPr>
        <w:jc w:val="both"/>
        <w:rPr>
          <w:b/>
        </w:rPr>
      </w:pPr>
    </w:p>
    <w:p w14:paraId="00000035" w14:textId="77777777" w:rsidR="007E5EE3" w:rsidRDefault="000638CC" w:rsidP="004445A2">
      <w:pPr>
        <w:jc w:val="both"/>
        <w:rPr>
          <w:i/>
        </w:rPr>
      </w:pPr>
      <w:r>
        <w:rPr>
          <w:i/>
        </w:rPr>
        <w:t>Iskolai együttműködések</w:t>
      </w:r>
    </w:p>
    <w:p w14:paraId="00000036" w14:textId="77777777" w:rsidR="007E5EE3" w:rsidRDefault="000638CC" w:rsidP="004445A2">
      <w:pPr>
        <w:numPr>
          <w:ilvl w:val="0"/>
          <w:numId w:val="4"/>
        </w:numPr>
        <w:jc w:val="both"/>
      </w:pPr>
      <w:r>
        <w:t>„A Covid előtt volt egy iskolalátogató</w:t>
      </w:r>
      <w:r>
        <w:t xml:space="preserve"> programunk, amelyben önkéntesek vettek részt, és főleg budapesti, illetve pest megyei általános és középiskolákban tartottak foglalkozásokat, internetbiztonság, illetve lelki egészség témakörökben. A Covid előtt évente kb. 1200-1300 tanulót értünk el ezze</w:t>
      </w:r>
      <w:r>
        <w:t>l a programmal. Jellemzően minket kerestek meg az iskolák. 2020-ban, illetve 2021 első félévében nem működött ez a program. Az volt a tervünk, hogy 2021 őszén újraindítjuk, de a törvény regisztrációhoz köti az internetbiztonsággal, illetve lelki egészségge</w:t>
      </w:r>
      <w:r>
        <w:t xml:space="preserve">l kapcsolatos foglalkozásokat is, mi pedig egyelőre nem regisztráltunk. </w:t>
      </w:r>
      <w:r>
        <w:rPr>
          <w:b/>
        </w:rPr>
        <w:t xml:space="preserve">Jelenleg </w:t>
      </w:r>
      <w:proofErr w:type="gramStart"/>
      <w:r>
        <w:rPr>
          <w:b/>
        </w:rPr>
        <w:t>azt  is</w:t>
      </w:r>
      <w:proofErr w:type="gramEnd"/>
      <w:r>
        <w:rPr>
          <w:b/>
        </w:rPr>
        <w:t xml:space="preserve"> csak informális úton tudjuk, hogy amúgy hol kellene regisztrálni, de a folyamat nem világos</w:t>
      </w:r>
      <w:r>
        <w:t>, és egyelőre nem tettünk lépéseket. Igazából még nem született döntés, hogy</w:t>
      </w:r>
      <w:r>
        <w:t xml:space="preserve"> mi legyen, elképzelhető, hogy fogunk regisztrálni, de az is, hogy nem. Iskolákból amúgy sokkal kevesebb megkeresés érkezik, ebben a tanévben talán 2 olyan iskola volt, amely érdeklődött erről.”</w:t>
      </w:r>
    </w:p>
    <w:p w14:paraId="00000037" w14:textId="77777777" w:rsidR="007E5EE3" w:rsidRDefault="000638CC" w:rsidP="004445A2">
      <w:pPr>
        <w:numPr>
          <w:ilvl w:val="0"/>
          <w:numId w:val="4"/>
        </w:numPr>
        <w:jc w:val="both"/>
      </w:pPr>
      <w:r>
        <w:t>„Egy jó hírnevű és magas presztízsű középiskolával volt együt</w:t>
      </w:r>
      <w:r>
        <w:t>tműködési megállapodásunk. A közös munka már több hete elkezdődött – több alkalommal jártunk a középiskolában, több alkalommal beszéltünk a vezetőséggel és a tantestület tagjaival. A kormányzati döntések azonban elbizonytalanították az iskola képviselőit a</w:t>
      </w:r>
      <w:r>
        <w:t xml:space="preserve">zzal kapcsolatban, hogy dolgozhatunk-e együtt (annak ellenére, hogy tevékenységünk során nem találkoztunk volna az iskola diákjaival, az együttműködésünk pedig semmilyen formában nem érintette volna a szexuális edukáció területét). Az iskola képviselői az </w:t>
      </w:r>
      <w:r>
        <w:t xml:space="preserve">együttműködésünkkel kapcsolatban a fenntartóhoz is kérdésekkel fordultak, érdemi és egyértelmű választ azonban nem kaptak. Végül, a kormányzati döntések, illetve </w:t>
      </w:r>
      <w:r>
        <w:rPr>
          <w:b/>
        </w:rPr>
        <w:t xml:space="preserve">a döntések értelmezése körüli bizonytalanság arra </w:t>
      </w:r>
      <w:r>
        <w:t>»</w:t>
      </w:r>
      <w:r>
        <w:rPr>
          <w:b/>
        </w:rPr>
        <w:t>kényszerítette</w:t>
      </w:r>
      <w:r>
        <w:t>«</w:t>
      </w:r>
      <w:r>
        <w:rPr>
          <w:b/>
        </w:rPr>
        <w:t xml:space="preserve"> az iskolát, hogy a velünk v</w:t>
      </w:r>
      <w:r>
        <w:rPr>
          <w:b/>
        </w:rPr>
        <w:t xml:space="preserve">aló együttműködést lezárják </w:t>
      </w:r>
      <w:r>
        <w:t>–</w:t>
      </w:r>
      <w:r>
        <w:rPr>
          <w:b/>
        </w:rPr>
        <w:t xml:space="preserve"> mindezt a tantestület valódi meggyőződése nélkül, a vezetőség és a tantestület </w:t>
      </w:r>
      <w:r>
        <w:t>»</w:t>
      </w:r>
      <w:r>
        <w:rPr>
          <w:b/>
        </w:rPr>
        <w:t>akarata ellenére</w:t>
      </w:r>
      <w:r>
        <w:t>« tették.”</w:t>
      </w:r>
    </w:p>
    <w:p w14:paraId="00000038" w14:textId="77777777" w:rsidR="007E5EE3" w:rsidRDefault="000638CC" w:rsidP="004445A2">
      <w:pPr>
        <w:numPr>
          <w:ilvl w:val="0"/>
          <w:numId w:val="4"/>
        </w:numPr>
        <w:jc w:val="both"/>
      </w:pPr>
      <w:r>
        <w:t>„Azokban az iskolákban, amelyekben dolgozom, felkérésre megyünk, így nem érzek változást.”</w:t>
      </w:r>
    </w:p>
    <w:p w14:paraId="0000003A" w14:textId="77777777" w:rsidR="007E5EE3" w:rsidRDefault="007E5EE3" w:rsidP="004445A2">
      <w:pPr>
        <w:jc w:val="both"/>
      </w:pPr>
    </w:p>
    <w:p w14:paraId="0000003B" w14:textId="77777777" w:rsidR="007E5EE3" w:rsidRDefault="000638CC" w:rsidP="004445A2">
      <w:pPr>
        <w:jc w:val="both"/>
        <w:rPr>
          <w:b/>
        </w:rPr>
      </w:pPr>
      <w:bookmarkStart w:id="9" w:name="_3znysh7" w:colFirst="0" w:colLast="0"/>
      <w:bookmarkEnd w:id="9"/>
      <w:r>
        <w:rPr>
          <w:b/>
        </w:rPr>
        <w:t>Milyen konkrét esetekről ér</w:t>
      </w:r>
      <w:r>
        <w:rPr>
          <w:b/>
        </w:rPr>
        <w:t>tesültünk, amelyekben megmutatkozik a félelemkeltő, kirekesztő kormányzati döntések hatása a gyerekekre és a körülöttük lévő felnőttekre?</w:t>
      </w:r>
    </w:p>
    <w:p w14:paraId="0000003C" w14:textId="77777777" w:rsidR="007E5EE3" w:rsidRDefault="007E5EE3" w:rsidP="004445A2">
      <w:pPr>
        <w:ind w:left="720"/>
        <w:jc w:val="both"/>
        <w:rPr>
          <w:b/>
        </w:rPr>
      </w:pPr>
    </w:p>
    <w:p w14:paraId="0000003D" w14:textId="77777777" w:rsidR="007E5EE3" w:rsidRDefault="000638CC" w:rsidP="004445A2">
      <w:pPr>
        <w:numPr>
          <w:ilvl w:val="0"/>
          <w:numId w:val="6"/>
        </w:numPr>
        <w:jc w:val="both"/>
      </w:pPr>
      <w:r>
        <w:t>„</w:t>
      </w:r>
      <w:r>
        <w:rPr>
          <w:b/>
        </w:rPr>
        <w:t>A gyerekek azt kommunikálják a chaten saját LMBTQI-</w:t>
      </w:r>
      <w:proofErr w:type="spellStart"/>
      <w:r>
        <w:rPr>
          <w:b/>
        </w:rPr>
        <w:t>ságukról</w:t>
      </w:r>
      <w:proofErr w:type="spellEnd"/>
      <w:r>
        <w:rPr>
          <w:b/>
        </w:rPr>
        <w:t>, hogy tudják, hogy ez nem normális.</w:t>
      </w:r>
      <w:r>
        <w:t xml:space="preserve"> Látványosan kevesebb</w:t>
      </w:r>
      <w:r>
        <w:t xml:space="preserve"> esélyük van a környezetükben az elfogadásra.” </w:t>
      </w:r>
    </w:p>
    <w:p w14:paraId="0000003E" w14:textId="77777777" w:rsidR="007E5EE3" w:rsidRDefault="000638CC" w:rsidP="004445A2">
      <w:pPr>
        <w:numPr>
          <w:ilvl w:val="0"/>
          <w:numId w:val="6"/>
        </w:numPr>
        <w:jc w:val="both"/>
      </w:pPr>
      <w:r>
        <w:t xml:space="preserve">„A pécsi </w:t>
      </w:r>
      <w:proofErr w:type="spellStart"/>
      <w:r>
        <w:t>Pride-on</w:t>
      </w:r>
      <w:proofErr w:type="spellEnd"/>
      <w:r>
        <w:t xml:space="preserve"> megfenyegették azokat a szülőket, akik a gyermekeikkel mentek ki a vonulásra, hogy feljelentik őket.” </w:t>
      </w:r>
    </w:p>
    <w:p w14:paraId="0000003F" w14:textId="77777777" w:rsidR="007E5EE3" w:rsidRDefault="000638CC" w:rsidP="004445A2">
      <w:pPr>
        <w:numPr>
          <w:ilvl w:val="0"/>
          <w:numId w:val="5"/>
        </w:numPr>
        <w:jc w:val="both"/>
      </w:pPr>
      <w:r>
        <w:t xml:space="preserve">„Egy szülő olyannyira felháborodott a </w:t>
      </w:r>
      <w:proofErr w:type="spellStart"/>
      <w:r>
        <w:t>gyermekvédelmi</w:t>
      </w:r>
      <w:proofErr w:type="spellEnd"/>
      <w:r>
        <w:t xml:space="preserve"> népszavazáson, hogy kérte, hogy a képviseletében forduljunk az Alkotmánybírósághoz.”</w:t>
      </w:r>
    </w:p>
    <w:p w14:paraId="00000040" w14:textId="77777777" w:rsidR="007E5EE3" w:rsidRDefault="007E5EE3" w:rsidP="004445A2">
      <w:pPr>
        <w:ind w:left="720"/>
        <w:jc w:val="both"/>
      </w:pPr>
    </w:p>
    <w:p w14:paraId="00000041" w14:textId="77777777" w:rsidR="007E5EE3" w:rsidRDefault="000638CC" w:rsidP="004445A2">
      <w:pPr>
        <w:jc w:val="both"/>
        <w:rPr>
          <w:i/>
        </w:rPr>
      </w:pPr>
      <w:r>
        <w:rPr>
          <w:i/>
        </w:rPr>
        <w:t>Iskolai, óvodai példák</w:t>
      </w:r>
    </w:p>
    <w:p w14:paraId="00000042" w14:textId="77777777" w:rsidR="007E5EE3" w:rsidRDefault="000638CC" w:rsidP="004445A2">
      <w:pPr>
        <w:numPr>
          <w:ilvl w:val="0"/>
          <w:numId w:val="6"/>
        </w:numPr>
        <w:jc w:val="both"/>
      </w:pPr>
      <w:r>
        <w:t xml:space="preserve">„Egy szülő osztotta meg, hogy </w:t>
      </w:r>
      <w:r>
        <w:rPr>
          <w:b/>
        </w:rPr>
        <w:t>a gyereke a szivárványt szerette volna óvodai jelként választani, azonban ezt a propagandatörvényre hivatkozva nem e</w:t>
      </w:r>
      <w:r>
        <w:rPr>
          <w:b/>
        </w:rPr>
        <w:t>ngedte az óvoda</w:t>
      </w:r>
      <w:r>
        <w:t xml:space="preserve">.” </w:t>
      </w:r>
    </w:p>
    <w:p w14:paraId="00000043" w14:textId="77777777" w:rsidR="007E5EE3" w:rsidRDefault="000638CC" w:rsidP="004445A2">
      <w:pPr>
        <w:numPr>
          <w:ilvl w:val="0"/>
          <w:numId w:val="6"/>
        </w:numPr>
        <w:jc w:val="both"/>
      </w:pPr>
      <w:r>
        <w:t>„Kaptunk bejelentést egy diáktól</w:t>
      </w:r>
      <w:r>
        <w:rPr>
          <w:b/>
        </w:rPr>
        <w:t>,</w:t>
      </w:r>
      <w:r>
        <w:t xml:space="preserve"> hogy augusztus végén az osztályfőnöke azzal hívta fel, hogy </w:t>
      </w:r>
      <w:r>
        <w:rPr>
          <w:b/>
        </w:rPr>
        <w:t>az igazgató üzeni, hogy transz volta miatt másik iskolába kell járnia</w:t>
      </w:r>
      <w:r>
        <w:t xml:space="preserve">, vagy </w:t>
      </w:r>
      <w:proofErr w:type="spellStart"/>
      <w:r>
        <w:t>öltözzön</w:t>
      </w:r>
      <w:proofErr w:type="spellEnd"/>
      <w:r>
        <w:t xml:space="preserve"> és viselkedjen az irataiban szereplő nevének megfelelően.”</w:t>
      </w:r>
    </w:p>
    <w:p w14:paraId="00000044" w14:textId="77777777" w:rsidR="007E5EE3" w:rsidRDefault="000638CC" w:rsidP="004445A2">
      <w:pPr>
        <w:numPr>
          <w:ilvl w:val="0"/>
          <w:numId w:val="6"/>
        </w:numPr>
        <w:jc w:val="both"/>
      </w:pPr>
      <w:r>
        <w:t xml:space="preserve">„Egy angol tanár jelezte, hogy a nála tanuló </w:t>
      </w:r>
      <w:r>
        <w:rPr>
          <w:b/>
        </w:rPr>
        <w:t xml:space="preserve">gyermekek nem voltak hajlandóak felírni olyan angol kifejezéseket a füzetükbe, amelyek az LMBTQI-témával kapcsolatosak </w:t>
      </w:r>
      <w:r>
        <w:t>– mondván, hogy ezt majd úgysem kérdezheti meg a tanár a dolgozatban.”</w:t>
      </w:r>
    </w:p>
    <w:p w14:paraId="00000045" w14:textId="77777777" w:rsidR="007E5EE3" w:rsidRDefault="000638CC" w:rsidP="004445A2">
      <w:pPr>
        <w:numPr>
          <w:ilvl w:val="0"/>
          <w:numId w:val="5"/>
        </w:numPr>
        <w:jc w:val="both"/>
      </w:pPr>
      <w:r>
        <w:t>„Egy LMBTQI közösség</w:t>
      </w:r>
      <w:r>
        <w:t xml:space="preserve">hez tartozó iskolapszichológus jelezte, hogy behívatták az iskola vezetőségéhez, és </w:t>
      </w:r>
      <w:r>
        <w:rPr>
          <w:b/>
        </w:rPr>
        <w:t>aláíratták vele finom kényszer hatására, hogy az iskolai tevékenykedése során nem propagálja a meleg közösséget</w:t>
      </w:r>
      <w:r>
        <w:t xml:space="preserve">.” </w:t>
      </w:r>
    </w:p>
    <w:p w14:paraId="00000046" w14:textId="77777777" w:rsidR="007E5EE3" w:rsidRDefault="000638CC" w:rsidP="004445A2">
      <w:pPr>
        <w:numPr>
          <w:ilvl w:val="0"/>
          <w:numId w:val="5"/>
        </w:numPr>
        <w:jc w:val="both"/>
      </w:pPr>
      <w:r>
        <w:t>„Egy iskolában nem engedték meg, hogy az eddigi szakember</w:t>
      </w:r>
      <w:r>
        <w:t xml:space="preserve"> tartson érzékenyítést, mert nincs rajta a »regisztrált szervezetek« listáján, bár ilyen még nincsen.”</w:t>
      </w:r>
    </w:p>
    <w:p w14:paraId="00000047" w14:textId="77777777" w:rsidR="007E5EE3" w:rsidRDefault="000638CC" w:rsidP="004445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t>„</w:t>
      </w:r>
      <w:r>
        <w:rPr>
          <w:color w:val="000000"/>
        </w:rPr>
        <w:t>Egy iskolaigazgató jelezte az iskolapszichológusnak, hogy minden olyan foglalkozást, am</w:t>
      </w:r>
      <w:r>
        <w:t>ely</w:t>
      </w:r>
      <w:r>
        <w:rPr>
          <w:color w:val="000000"/>
        </w:rPr>
        <w:t xml:space="preserve"> az internetbiztonságot, a lelki egészséget, a szexuális felvi</w:t>
      </w:r>
      <w:r>
        <w:rPr>
          <w:color w:val="000000"/>
        </w:rPr>
        <w:t>lágosítást érinti, vagy az iskolapszichológus vagy valamelyik pedagógus kell, hogy megtartsa, mert nem lehet külsős szakembert, szervezetet meghívni erre.</w:t>
      </w:r>
      <w:r>
        <w:t>”</w:t>
      </w:r>
    </w:p>
    <w:p w14:paraId="00000048" w14:textId="77777777" w:rsidR="007E5EE3" w:rsidRDefault="000638CC" w:rsidP="004445A2">
      <w:pPr>
        <w:numPr>
          <w:ilvl w:val="0"/>
          <w:numId w:val="5"/>
        </w:numPr>
        <w:jc w:val="both"/>
      </w:pPr>
      <w:r>
        <w:t xml:space="preserve">„Tanári szinten érzékelhető a szorongás, de vegyes a kép. Pl. </w:t>
      </w:r>
      <w:r>
        <w:rPr>
          <w:b/>
        </w:rPr>
        <w:t>nehéz/nem lehet elválasztani az egészs</w:t>
      </w:r>
      <w:r>
        <w:rPr>
          <w:b/>
        </w:rPr>
        <w:t>égfejlesztő foglalkozások során a szexualitás, a szexuális egészség témáját a HPV-oltás témájától</w:t>
      </w:r>
      <w:r>
        <w:t xml:space="preserve">. Mégis érezhető a feszültség, amikor interaktív beszélgetések keretében erre terelődik a szó. Szintén feszültséget okoz a HIV/AIDS-téma. Előfordult, hogy egy </w:t>
      </w:r>
      <w:r>
        <w:t>osztályfőnök az egyik 8. osztályban nem járult hozzá egyik témához sem. Ugyanebben az iskolában egy másik osztályban (6. osztály) az osztályfőnök – jóval a nyugdíjkorhatáron túli úr – kifejezett kérése volt, hogy beszélgessek a fiúkkal a szexuális zaklatás</w:t>
      </w:r>
      <w:r>
        <w:t>ról. Kis létszámú osztály, csak fiúk. Mint kiderült, aznap uszodai foglalkozás is lett volna. A lányok ilyen napokon nem jönnek iskolába, félve a verbális zaklatástól és a fizikai (fogdosás) zaklatástól. A pedagógus nem érezte magát felkészültnek a beszélg</w:t>
      </w:r>
      <w:r>
        <w:t xml:space="preserve">etésre, de tarthatatlannak érezte a helyzetet. </w:t>
      </w:r>
      <w:r>
        <w:rPr>
          <w:b/>
        </w:rPr>
        <w:t>Kérdésemre, hogy a gyerekek honnan tájékozódnak, ha a szexualitásukkal kapcsolatban valamire kíváncsiak, a fiúk kizárólag pornó csatornákat soroltak.</w:t>
      </w:r>
      <w:r>
        <w:t xml:space="preserve"> Az iskolában (bár van védőnő és van orvos is) senki nem bes</w:t>
      </w:r>
      <w:r>
        <w:t>zél velük szexualitásról. Sajnos, általános tapasztalatom az is, hogy a HPV-oltás kapcsán kizárólag a méhnyakrák-megelőzés kerül szóba (már ahol). A fiúknál megjelenő HPV-alapú fej-nyaki daganatokról nincs szó – ennek folyományaként az orális szexről meg p</w:t>
      </w:r>
      <w:r>
        <w:t>láne nem esik szó. Pár mondat még a HIV/AIDS-témáról. Pár helyen zsigerből jön a »</w:t>
      </w:r>
      <w:proofErr w:type="spellStart"/>
      <w:r>
        <w:t>buzizás</w:t>
      </w:r>
      <w:proofErr w:type="spellEnd"/>
      <w:r>
        <w:t>«. Kevesen vannak tisztában a megfertőződés lehetséges útvonalaival, a betegség szakaszaival, és még kevesebben tudnak az anonim szűrési lehetőségekről. Ehhez kapcsoló</w:t>
      </w:r>
      <w:r>
        <w:t xml:space="preserve">dóan az többnyire világos, hogy a lányok baj esetén a nőgyógyászhoz fordulnak, de az kevéssé világos, hogy a fiúk kihez forduljanak, ha nekik van bajuk a nemi szerveikkel. Az </w:t>
      </w:r>
      <w:proofErr w:type="gramStart"/>
      <w:r>
        <w:t>urológus</w:t>
      </w:r>
      <w:proofErr w:type="gramEnd"/>
      <w:r>
        <w:t xml:space="preserve"> mint szakma kevéssé látható a fiúk számára. Összességében a feszültség é</w:t>
      </w:r>
      <w:r>
        <w:t xml:space="preserve">rezhető az iskolákban (talán az agresszió is emelkedik – testi határok átlépése, </w:t>
      </w:r>
      <w:proofErr w:type="spellStart"/>
      <w:r>
        <w:t>buzizás</w:t>
      </w:r>
      <w:proofErr w:type="spellEnd"/>
      <w:r>
        <w:t xml:space="preserve">). A tudáshiány és a gyerekek magukra hagyatottsága szintén. Bár ez nem kapcsolódik szorosan az LMBTQI-kérdéskörhöz, de </w:t>
      </w:r>
      <w:r>
        <w:rPr>
          <w:b/>
        </w:rPr>
        <w:t xml:space="preserve">a múlt heti iskolában, már a </w:t>
      </w:r>
      <w:proofErr w:type="spellStart"/>
      <w:r>
        <w:rPr>
          <w:b/>
        </w:rPr>
        <w:t>gyermekjogi</w:t>
      </w:r>
      <w:proofErr w:type="spellEnd"/>
      <w:r>
        <w:rPr>
          <w:b/>
        </w:rPr>
        <w:t xml:space="preserve"> játékun</w:t>
      </w:r>
      <w:r>
        <w:rPr>
          <w:b/>
        </w:rPr>
        <w:t>któl is tartózkodott az egyik pedagógus. Azt kérte, játsszunk mást a gyerekekkel.”</w:t>
      </w:r>
    </w:p>
    <w:p w14:paraId="0000004A" w14:textId="77777777" w:rsidR="007E5EE3" w:rsidRDefault="000638CC" w:rsidP="004445A2">
      <w:pPr>
        <w:numPr>
          <w:ilvl w:val="0"/>
          <w:numId w:val="5"/>
        </w:numPr>
        <w:jc w:val="both"/>
        <w:rPr>
          <w:b/>
        </w:rPr>
      </w:pPr>
      <w:r>
        <w:t>„</w:t>
      </w:r>
      <w:r>
        <w:rPr>
          <w:b/>
        </w:rPr>
        <w:t>Kapunk olyan kérdéseket pedagógusoktól, hogy törvényt sért-e, ha bármilyen LMBTQI-téma felmerül a tanórán.”</w:t>
      </w:r>
    </w:p>
    <w:p w14:paraId="0000004B" w14:textId="77777777" w:rsidR="007E5EE3" w:rsidRDefault="000638CC" w:rsidP="004445A2">
      <w:pPr>
        <w:numPr>
          <w:ilvl w:val="0"/>
          <w:numId w:val="5"/>
        </w:numPr>
        <w:jc w:val="both"/>
      </w:pPr>
      <w:r>
        <w:t>„</w:t>
      </w:r>
      <w:r>
        <w:rPr>
          <w:b/>
        </w:rPr>
        <w:t>Egyes pedagógusok szoronganak. Gyakran nem néznek rám, »összehú</w:t>
      </w:r>
      <w:r>
        <w:rPr>
          <w:b/>
        </w:rPr>
        <w:t>zzák« magukat, ha »tiltott« témáról, pl. homoszexualitásról beszélek</w:t>
      </w:r>
      <w:r>
        <w:t>, mondjuk a HIV/AIDS kapcsán. A foglalkozás végén elmormognak egy viszontlátást és gyorsan távoznak az osztályteremből.”</w:t>
      </w:r>
    </w:p>
    <w:p w14:paraId="0000004C" w14:textId="77777777" w:rsidR="007E5EE3" w:rsidRDefault="000638CC" w:rsidP="004445A2">
      <w:pPr>
        <w:numPr>
          <w:ilvl w:val="0"/>
          <w:numId w:val="5"/>
        </w:numPr>
        <w:jc w:val="both"/>
        <w:rPr>
          <w:b/>
        </w:rPr>
      </w:pPr>
      <w:bookmarkStart w:id="10" w:name="_2et92p0" w:colFirst="0" w:colLast="0"/>
      <w:bookmarkEnd w:id="10"/>
      <w:r>
        <w:t>„Az iskolákban dolgozó pedagógusokkal és más szakemberekkel folytat</w:t>
      </w:r>
      <w:r>
        <w:t xml:space="preserve">ott beszélgetések, közös tréningek alkalmával több alkalommal szembesülünk azzal, hogy </w:t>
      </w:r>
      <w:r>
        <w:rPr>
          <w:b/>
        </w:rPr>
        <w:t>a felnőttek bizonytalanok abban, hogy mit mondhatnak a diákoknak a szexualitással kapcsolatban</w:t>
      </w:r>
      <w:r>
        <w:t>, illetve kiket kérhetnek fel ilyen témájú foglalkozások tartására.”</w:t>
      </w:r>
    </w:p>
    <w:p w14:paraId="0000004D" w14:textId="77777777" w:rsidR="007E5EE3" w:rsidRDefault="007E5EE3" w:rsidP="004445A2">
      <w:pPr>
        <w:ind w:left="720"/>
        <w:jc w:val="both"/>
      </w:pPr>
      <w:bookmarkStart w:id="11" w:name="_qeqbb9mndy5c" w:colFirst="0" w:colLast="0"/>
      <w:bookmarkEnd w:id="11"/>
    </w:p>
    <w:p w14:paraId="0000004E" w14:textId="77777777" w:rsidR="007E5EE3" w:rsidRDefault="000638CC" w:rsidP="004445A2">
      <w:pPr>
        <w:jc w:val="both"/>
      </w:pPr>
      <w:r>
        <w:rPr>
          <w:b/>
        </w:rPr>
        <w:t>Hogya</w:t>
      </w:r>
      <w:r>
        <w:rPr>
          <w:b/>
        </w:rPr>
        <w:t>n hat mindez a gyerekekre és az őket körülvevő közösségekre?</w:t>
      </w:r>
    </w:p>
    <w:p w14:paraId="0000004F" w14:textId="77777777" w:rsidR="007E5EE3" w:rsidRDefault="000638CC" w:rsidP="004445A2">
      <w:pPr>
        <w:numPr>
          <w:ilvl w:val="0"/>
          <w:numId w:val="2"/>
        </w:numPr>
        <w:jc w:val="both"/>
      </w:pPr>
      <w:r>
        <w:t>Növelheti a gyerekek bizonytalanságát a szexualitással összefüggő témákban.</w:t>
      </w:r>
    </w:p>
    <w:p w14:paraId="00000050" w14:textId="77777777" w:rsidR="007E5EE3" w:rsidRDefault="000638CC" w:rsidP="004445A2">
      <w:pPr>
        <w:numPr>
          <w:ilvl w:val="0"/>
          <w:numId w:val="2"/>
        </w:numPr>
        <w:jc w:val="both"/>
      </w:pPr>
      <w:r>
        <w:t>A bizonytalanság fokozza a szakemberek feszültségét, hozzájárulva a kiégéshez és a kiégéssel összefüggő negatív tendenciákhoz (pl. fluktuáció, pályaelhagyás).</w:t>
      </w:r>
    </w:p>
    <w:p w14:paraId="00000051" w14:textId="77777777" w:rsidR="007E5EE3" w:rsidRDefault="000638CC" w:rsidP="004445A2">
      <w:pPr>
        <w:numPr>
          <w:ilvl w:val="0"/>
          <w:numId w:val="2"/>
        </w:numPr>
        <w:jc w:val="both"/>
      </w:pPr>
      <w:r>
        <w:t xml:space="preserve">Tovább erősíti a már meglévő prüdériát, fokozza a szorongást, növeli a kirekesztést. Érzékelhető </w:t>
      </w:r>
      <w:r>
        <w:t>a verbális agresszió emelkedése.</w:t>
      </w:r>
    </w:p>
    <w:p w14:paraId="00000052" w14:textId="77777777" w:rsidR="007E5EE3" w:rsidRDefault="000638CC" w:rsidP="004445A2">
      <w:pPr>
        <w:numPr>
          <w:ilvl w:val="0"/>
          <w:numId w:val="2"/>
        </w:numPr>
        <w:jc w:val="both"/>
      </w:pPr>
      <w:r>
        <w:t>Nagyon megnehezíti a segítségkérést, ami amúgy is nehéz és korlátozott. Hozzájárulhat ahhoz, hogy a gyerekek magukra maradjanak kérdéseikkel.</w:t>
      </w:r>
    </w:p>
    <w:p w14:paraId="00000053" w14:textId="77777777" w:rsidR="007E5EE3" w:rsidRDefault="000638CC" w:rsidP="004445A2">
      <w:pPr>
        <w:numPr>
          <w:ilvl w:val="0"/>
          <w:numId w:val="2"/>
        </w:numPr>
        <w:jc w:val="both"/>
      </w:pPr>
      <w:r>
        <w:t>Elfogadhatóvá, normává teszi a kirekesztést, megbélyegzést, ami hosszabb távon ne</w:t>
      </w:r>
      <w:r>
        <w:t xml:space="preserve">mcsak az LMBTQI-fiatalokat érinti, hanem mindenkit. </w:t>
      </w:r>
    </w:p>
    <w:p w14:paraId="00000054" w14:textId="77777777" w:rsidR="007E5EE3" w:rsidRDefault="000638CC" w:rsidP="004445A2">
      <w:pPr>
        <w:numPr>
          <w:ilvl w:val="0"/>
          <w:numId w:val="2"/>
        </w:numPr>
        <w:jc w:val="both"/>
      </w:pPr>
      <w:r>
        <w:t>Elvonja a figyelmet azokról a problémákról, nehézségekről, amelyekkel valóban foglalkozni kellene (például a Covid hatásáról a fiatalok mentális egészségére).</w:t>
      </w:r>
    </w:p>
    <w:p w14:paraId="00000055" w14:textId="77777777" w:rsidR="007E5EE3" w:rsidRDefault="000638CC" w:rsidP="004445A2">
      <w:pPr>
        <w:numPr>
          <w:ilvl w:val="0"/>
          <w:numId w:val="2"/>
        </w:numPr>
        <w:jc w:val="both"/>
      </w:pPr>
      <w:r>
        <w:t xml:space="preserve">Átpolitizál egy komoly és összetett szakmai </w:t>
      </w:r>
      <w:r>
        <w:t xml:space="preserve">kérdést (pl. nemi </w:t>
      </w:r>
      <w:proofErr w:type="spellStart"/>
      <w:r>
        <w:t>diszfória</w:t>
      </w:r>
      <w:proofErr w:type="spellEnd"/>
      <w:r>
        <w:t>, transzneműség), ami megnehezíti, hogy az érdekeltek szakmai szempontok alapján szervezett segítséget és támogatást kapjanak.</w:t>
      </w:r>
    </w:p>
    <w:p w14:paraId="00000056" w14:textId="77777777" w:rsidR="007E5EE3" w:rsidRDefault="000638CC" w:rsidP="004445A2">
      <w:pPr>
        <w:numPr>
          <w:ilvl w:val="0"/>
          <w:numId w:val="2"/>
        </w:numPr>
        <w:jc w:val="both"/>
      </w:pPr>
      <w:r>
        <w:t>Növeli az iskolába járó LMBTQI-fiatalok kirekesztettségét, az esélyt a szóbeli és fizikai erőszakra és</w:t>
      </w:r>
      <w:r>
        <w:t xml:space="preserve"> annak semmilyen vagy rossz kezelésére.</w:t>
      </w:r>
    </w:p>
    <w:p w14:paraId="00000057" w14:textId="77777777" w:rsidR="007E5EE3" w:rsidRDefault="000638CC" w:rsidP="004445A2">
      <w:pPr>
        <w:numPr>
          <w:ilvl w:val="0"/>
          <w:numId w:val="2"/>
        </w:numPr>
        <w:jc w:val="both"/>
      </w:pPr>
      <w:r>
        <w:t>A jogszabályok nem határozzák meg egyértelműen, hogy mit jelent a „népszerűsítés” és a „megjelenítés.” A fenntartott bizonytalanság eltérő értelmezésekhez vezet, ami megágyaz a szubjektív, megkülönböztető elbánásnak.</w:t>
      </w:r>
    </w:p>
    <w:p w14:paraId="7D6B885D" w14:textId="77777777" w:rsidR="00B062BF" w:rsidRDefault="00B062BF" w:rsidP="00B062BF">
      <w:pPr>
        <w:jc w:val="both"/>
      </w:pPr>
    </w:p>
    <w:p w14:paraId="4731A355" w14:textId="77777777" w:rsidR="00B062BF" w:rsidRDefault="00B062BF" w:rsidP="00B062BF">
      <w:pPr>
        <w:jc w:val="both"/>
      </w:pPr>
    </w:p>
    <w:p w14:paraId="664A518F" w14:textId="5CF5625B" w:rsidR="00B062BF" w:rsidRDefault="00B062BF" w:rsidP="00B062BF">
      <w:pPr>
        <w:jc w:val="both"/>
      </w:pPr>
      <w:r>
        <w:t xml:space="preserve">Budapest, 2022. március </w:t>
      </w:r>
      <w:r w:rsidR="004C272A">
        <w:t>25.</w:t>
      </w:r>
    </w:p>
    <w:sectPr w:rsidR="00B062B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011"/>
    <w:multiLevelType w:val="multilevel"/>
    <w:tmpl w:val="C91EF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164606"/>
    <w:multiLevelType w:val="multilevel"/>
    <w:tmpl w:val="4274BA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A44D43"/>
    <w:multiLevelType w:val="multilevel"/>
    <w:tmpl w:val="99EC9A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372ADE"/>
    <w:multiLevelType w:val="multilevel"/>
    <w:tmpl w:val="77C2E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1F1180"/>
    <w:multiLevelType w:val="multilevel"/>
    <w:tmpl w:val="1F266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7A4714"/>
    <w:multiLevelType w:val="multilevel"/>
    <w:tmpl w:val="22661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EE3"/>
    <w:rsid w:val="002E67F8"/>
    <w:rsid w:val="003F21FC"/>
    <w:rsid w:val="004445A2"/>
    <w:rsid w:val="004C272A"/>
    <w:rsid w:val="007E5EE3"/>
    <w:rsid w:val="008C42A1"/>
    <w:rsid w:val="00B0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BA2F"/>
  <w15:docId w15:val="{8E95A048-97D3-447C-BE73-2943C09F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ntalovon.hu/2022/03/08/azonnali-fellepest-surget-az-eu-a-gyermekjogellenes-mozgalmakkal-szemb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yermekjogicivilkoalicio.hu/gyermekjogi-allasfoglalas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exualpszichologia.hu/who_iranyelvei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2234</Words>
  <Characters>15422</Characters>
  <Application>Microsoft Office Word</Application>
  <DocSecurity>0</DocSecurity>
  <Lines>128</Lines>
  <Paragraphs>35</Paragraphs>
  <ScaleCrop>false</ScaleCrop>
  <Company/>
  <LinksUpToDate>false</LinksUpToDate>
  <CharactersWithSpaces>17621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Pehr Erika</dc:creator>
  <cp:lastModifiedBy>Erika Pehr</cp:lastModifiedBy>
  <cp:revision>5</cp:revision>
  <dcterms:created xsi:type="dcterms:W3CDTF">2022-03-28T10:45:00Z</dcterms:created>
  <dcterms:modified xsi:type="dcterms:W3CDTF">2022-03-28T10:49:00Z</dcterms:modified>
</cp:coreProperties>
</file>